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3CBD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науки и высшего образования Российской Федерации </w:t>
      </w:r>
    </w:p>
    <w:p w:rsidR="00413CBD" w:rsidRDefault="00413CB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413CBD" w:rsidRDefault="00413CB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3CBD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ТОМСКИЙ ГОСУДАРСТВЕННЫЙ УНИВЕРСИТЕТ СИСТЕМ УПРАВЛЕНИЯ И РАДИОЭЛЕКТРОНИКИ (ТУСУР)</w:t>
      </w:r>
    </w:p>
    <w:p w:rsidR="00413CBD" w:rsidRDefault="00413CB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3CBD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Институт инноватики </w:t>
      </w:r>
    </w:p>
    <w:p w:rsidR="00413CBD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Юридический факультет </w:t>
      </w:r>
    </w:p>
    <w:p w:rsidR="00413CBD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уголовного права</w:t>
      </w:r>
    </w:p>
    <w:p w:rsidR="00413CBD" w:rsidRDefault="00413CB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413CB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КОНТРОЛЬНАЯ РАБОТА </w:t>
      </w:r>
    </w:p>
    <w:p w:rsidR="00413CBD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дисциплине «Основы адвокатуры» </w:t>
      </w:r>
    </w:p>
    <w:p w:rsidR="00413CBD" w:rsidRDefault="00413CB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413CB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Проверил: канд. юрид. наук, ст. преподаватель </w:t>
      </w:r>
    </w:p>
    <w:p w:rsidR="00413CBD" w:rsidRDefault="00E37FF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кафедры уголовного права </w:t>
      </w:r>
    </w:p>
    <w:p w:rsidR="00413CBD" w:rsidRDefault="00E37FF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 </w:t>
      </w:r>
    </w:p>
    <w:p w:rsidR="00413CBD" w:rsidRDefault="00E37FF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 И. О. преподавателя)</w:t>
      </w:r>
    </w:p>
    <w:p w:rsidR="00413CBD" w:rsidRDefault="00413CBD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Автор работы: </w:t>
      </w:r>
      <w:bookmarkStart w:id="0" w:name="_GoBack"/>
      <w:bookmarkEnd w:id="0"/>
    </w:p>
    <w:p w:rsidR="00413CBD" w:rsidRDefault="00413CB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413C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413C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413C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Томск 2021</w:t>
      </w:r>
      <w:r>
        <w:br w:type="page"/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Оглавление</w:t>
      </w:r>
    </w:p>
    <w:sdt>
      <w:sdtPr>
        <w:id w:val="2080640206"/>
        <w:docPartObj>
          <w:docPartGallery w:val="Table of Contents"/>
          <w:docPartUnique/>
        </w:docPartObj>
      </w:sdtPr>
      <w:sdtEndPr/>
      <w:sdtContent>
        <w:p w:rsidR="00413CBD" w:rsidRDefault="00E37F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9"/>
            </w:tabs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gjdgxs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 на теоретический вопрос</w:t>
            </w:r>
          </w:hyperlink>
          <w:r>
            <w:rPr>
              <w:rFonts w:ascii="Times New Roman" w:eastAsia="Times New Roman" w:hAnsi="Times New Roman" w:cs="Times New Roman"/>
              <w:sz w:val="28"/>
              <w:szCs w:val="28"/>
            </w:rPr>
            <w:t>……………………………………………………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_gjdgxs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3</w:t>
          </w:r>
          <w:r>
            <w:fldChar w:fldCharType="end"/>
          </w:r>
        </w:p>
        <w:p w:rsidR="00413CBD" w:rsidRDefault="00E37F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9"/>
            </w:tabs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30j0zll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задачи</w:t>
            </w:r>
          </w:hyperlink>
          <w:r>
            <w:rPr>
              <w:rFonts w:ascii="Times New Roman" w:eastAsia="Times New Roman" w:hAnsi="Times New Roman" w:cs="Times New Roman"/>
              <w:sz w:val="28"/>
              <w:szCs w:val="28"/>
            </w:rPr>
            <w:t>……………………………………………………………………...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_30j0zll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8</w:t>
          </w:r>
          <w:r>
            <w:fldChar w:fldCharType="end"/>
          </w:r>
        </w:p>
        <w:p w:rsidR="00413CBD" w:rsidRDefault="00E37F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9"/>
            </w:tabs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1fob9t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ект документов</w:t>
            </w:r>
          </w:hyperlink>
          <w:r>
            <w:rPr>
              <w:rFonts w:ascii="Times New Roman" w:eastAsia="Times New Roman" w:hAnsi="Times New Roman" w:cs="Times New Roman"/>
              <w:sz w:val="28"/>
              <w:szCs w:val="28"/>
            </w:rPr>
            <w:t>……………………………………………………………...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_1fob9te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10</w:t>
          </w:r>
          <w:r>
            <w:fldChar w:fldCharType="end"/>
          </w:r>
        </w:p>
        <w:p w:rsidR="00413CBD" w:rsidRDefault="00E37F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9"/>
            </w:tabs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_3znysh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использованных источников и литературы</w:t>
            </w:r>
          </w:hyperlink>
          <w:r>
            <w:rPr>
              <w:rFonts w:ascii="Times New Roman" w:eastAsia="Times New Roman" w:hAnsi="Times New Roman" w:cs="Times New Roman"/>
              <w:sz w:val="28"/>
              <w:szCs w:val="28"/>
            </w:rPr>
            <w:t>……………………………..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fldChar w:fldCharType="begin"/>
          </w:r>
          <w:r>
            <w:instrText xml:space="preserve"> PAGEREF _3znysh7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22</w:t>
          </w:r>
          <w:r>
            <w:fldChar w:fldCharType="end"/>
          </w:r>
          <w:r>
            <w:fldChar w:fldCharType="end"/>
          </w:r>
        </w:p>
      </w:sdtContent>
    </w:sdt>
    <w:p w:rsidR="00413CBD" w:rsidRDefault="00413CB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before="480" w:after="48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413CBD" w:rsidRDefault="00E37FF1">
      <w:pPr>
        <w:pStyle w:val="1"/>
        <w:spacing w:before="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Ответ на теоретический вопрос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Раскройте полномочия адвоката, перечисленные в Федеральном законе «Об адвокатской деятельности и адвокатуре в Российской Федерации»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Лицо, получившее ученую степень по юридическим специальностям, либо получившее высшее юридическое образование на базе аккредитованного учебного заведения наделяется правом приобретения статуса юриста. В свою очередь, для получения статуса адвоката, лицу, н</w:t>
      </w:r>
      <w:r>
        <w:rPr>
          <w:rFonts w:ascii="Times New Roman" w:eastAsia="Times New Roman" w:hAnsi="Times New Roman" w:cs="Times New Roman"/>
          <w:sz w:val="28"/>
          <w:szCs w:val="28"/>
        </w:rPr>
        <w:t>аделенному правом приобретения статуса юриста, необходимо пройти стажировку в адвокатском образовании в сроки указанные в Законе об адвокатуре и адвокатской деятельности в России (далее - Закон об адвокатуре)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иметь два или более лет стажа работы по ю</w:t>
      </w:r>
      <w:r>
        <w:rPr>
          <w:rFonts w:ascii="Times New Roman" w:eastAsia="Times New Roman" w:hAnsi="Times New Roman" w:cs="Times New Roman"/>
          <w:sz w:val="28"/>
          <w:szCs w:val="28"/>
        </w:rPr>
        <w:t>ридической специальности.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Законом предусмотрены особые возможности, которые возникают из специфики правового статуса адвоката, так, адвокат обеспечивает доступ к правосудию и осуществляет деятельность направленную на оказание юридической помощи 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>м и гражданам с целью защиты прав, законных интересов и свобод последних.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этого под полномочиями адвоката следует понимать исключительно обязанности и права, которые связаны с исполнением работы. Такое понятие власти в общеправовом смысле соответ</w:t>
      </w:r>
      <w:r>
        <w:rPr>
          <w:rFonts w:ascii="Times New Roman" w:eastAsia="Times New Roman" w:hAnsi="Times New Roman" w:cs="Times New Roman"/>
          <w:sz w:val="28"/>
          <w:szCs w:val="28"/>
        </w:rPr>
        <w:t>ствует содержанию данного правового термина.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полномочий адвоката, которые регламентируются статью 6 Закона об адвокатуре, является открытым и утвержден в части 3 статьи 6 Закона об адвокатуре, в свою очередь обязанности адвоката (в виде запретов)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перечислены в разделе 4.3.  Тем не менее, те полномочия адвоката, которые указаны в статье 6 могут быть реализованы в любой комиссии и носят лишь общий характер.  В рамках отраслевых правил помимо основных полномочий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адвоката, с целью эффективного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>ления обязанностей и прав представителя или адвоката, могут быть предусмотрены добавочные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6 Закона об адвокатуре полномочия адвоката, который принимает участие в роли представителя доверителя в рамках гражданского, конституционн</w:t>
      </w:r>
      <w:r>
        <w:rPr>
          <w:rFonts w:ascii="Times New Roman" w:eastAsia="Times New Roman" w:hAnsi="Times New Roman" w:cs="Times New Roman"/>
          <w:sz w:val="28"/>
          <w:szCs w:val="28"/>
        </w:rPr>
        <w:t>ого и административного судопроизводства, а также в роли защитника или представителя в рамках производства административного правонарушения или уголовного преступления, регулируются соответствующим процессуальным законодательством России.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Адвокат имеет пра</w:t>
      </w:r>
      <w:r>
        <w:rPr>
          <w:rFonts w:ascii="Times New Roman" w:eastAsia="Times New Roman" w:hAnsi="Times New Roman" w:cs="Times New Roman"/>
          <w:sz w:val="28"/>
          <w:szCs w:val="28"/>
        </w:rPr>
        <w:t>во: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порядке отраженном в статье 6.1 Закона об адвокатуре собирать информацию, которая необходима для предоставления юридической помощи, так, адвокат имеет право запрашивать характеристики, справки и прочие документы от органов местного самоуправления,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организаций, органов государственной власти, и прочих организаций. Перечисленные организации и органы, согласно установленному порядку, должны выдавать адвокату копии или оригиналы документов, необходимых последнему.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Адвокат имеет право напра</w:t>
      </w:r>
      <w:r>
        <w:rPr>
          <w:rFonts w:ascii="Times New Roman" w:eastAsia="Times New Roman" w:hAnsi="Times New Roman" w:cs="Times New Roman"/>
          <w:sz w:val="28"/>
          <w:szCs w:val="28"/>
        </w:rPr>
        <w:t>влять официальное обращение (далее - адвокатский запрос) о предоставлении характеристик, справок и прочих документов, которые требуются для оказания его услуг в органы местного самоуправления, общественные объединения, органы государственной власти и прочи</w:t>
      </w:r>
      <w:r>
        <w:rPr>
          <w:rFonts w:ascii="Times New Roman" w:eastAsia="Times New Roman" w:hAnsi="Times New Roman" w:cs="Times New Roman"/>
          <w:sz w:val="28"/>
          <w:szCs w:val="28"/>
        </w:rPr>
        <w:t>е организации в порядке, который установлен в статье 6.1 Закона об адвокатуре.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30 дней со дня получения адвокатского запроса, перечисленные организации и органы, в которые он был направлен обязаны дать на него ответ в письменной форме. Если органу или о</w:t>
      </w:r>
      <w:r>
        <w:rPr>
          <w:rFonts w:ascii="Times New Roman" w:eastAsia="Times New Roman" w:hAnsi="Times New Roman" w:cs="Times New Roman"/>
          <w:sz w:val="28"/>
          <w:szCs w:val="28"/>
        </w:rPr>
        <w:t>рганизации требуется дополнительное время на предоставление собранных данных, вышеупомянутый срок может быть продлен (вплоть до 30-ти дней), о данном факте в обязательном порядке сообщается адвокату посредством уведомления.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Требования к порядку оформления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форме запроса адвоката, а также порядку его направления устанавливаются федеральным органом юстиции при согласовании с заинтересованными государственными органами власти.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Выделяют следующие случаи, когда адвокату могут отказать в предоставлении 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были им запрошены: </w:t>
      </w:r>
    </w:p>
    <w:p w:rsidR="00413CBD" w:rsidRDefault="00E37F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Обнаружены нарушения требований, предъявляемых к порядку направления и форме запроса, которые установлены действующим законодательством;</w:t>
      </w:r>
    </w:p>
    <w:p w:rsidR="00413CBD" w:rsidRDefault="00E37F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Сведения, которые запрошены адвокатом, относятся к информации с ограниченным доступом;</w:t>
      </w:r>
    </w:p>
    <w:p w:rsidR="00413CBD" w:rsidRDefault="00E37F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Субъект, который получил запрос адвоката, не обладает запрашиваемой информацией.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Однако, в том случае, если лицо не предоставило сведения по адвокатскому запросу при отсутствии установленных законом оснований, либо предоставило их с нарушением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сроков, возможно привлечение данного лица к ответственности, предусмотренной действующим законодательством.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Адвокат имеет право проводить опрос тех лиц, которые возможно владеют необходимой для дела информацией. Однако в этом случае обязательно необ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ходимо согласие таких лиц на их опрос.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Проводить такой опрос адвокат имеет право как в устной, так и в письменной форме. Однако в подавляющем большинстве случаев на практике адвокаты используют письменный опрос, так как письменную форму опроса в дальнейше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можно предоставить в суд.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Следует отметить, что адвокату необходимо проводить опрос лиц с крайней осторожностью, так как некоторые полученные им сведения могут перевести его в статус свидетеля или другое процессуальное положение. В таком случае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утрачивает свой статус по конкретному делу.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Адвокат имеет право представлять и собирать документы и предметы с целью их дальнейшего признания в качестве вещественных либо других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доказательств. Такие документы и предметы признаются доказательствами в пор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ядке, который предусмотрен действующим законодательством.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Следует отметить, что личное участие адвоката в сборе вышеуказанных документов и предметов может преобразоваться в частную детективную деятельность, однако это недопустимо не только согласно требов</w:t>
      </w:r>
      <w:r>
        <w:rPr>
          <w:rFonts w:ascii="Times New Roman" w:eastAsia="Times New Roman" w:hAnsi="Times New Roman" w:cs="Times New Roman"/>
          <w:sz w:val="28"/>
          <w:szCs w:val="28"/>
        </w:rPr>
        <w:t>аниям этики адвокатской деятельности, но и положениям действующего процессуального законодательства. При этом сбор таких документов и предметов может производиться адвокатом с помощью официальных органов, уполномоченных лиц и работников, частных детективов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доверителей. То есть от перечисленных лиц адвокаты могут получать документы и предметы целью их дальнейшего признания в качестве вещественных либо других доказательств.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Каждое действие адвокату по сбору вышеуказанных документов и предметов должно соотв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етствовать положениям действующего законодательства.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Адвокат имеет право привлекать конкретных специалистов, разъясняющих вопросы, которые относятся к юридической помощи. Такие лица привлекаются адвокатом на основании договора.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полномочие доста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точно давно применяется адвокатами, то есть оно применялось еще до его официального закрепления в законодательстве. Так, адвокаты с целью разъяснения конкретных вопросов привлекали специалистов, заключения которых передавали суду.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дальнейшем такое полно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мочие было официально закреплено в Законе об адвокатуре, что позволило адвокатам обращаться за помощью к специалистам на законных основаниях.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Адвокат имеет право беспрепятственно встречаться со своим доверителем наедине и в тех условиях, которые обеспе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чивают полную конфиденциальность. Такие свидания не могут быть ограничены ни по продолжительности, ни по количеству.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Благодаря такому полномочию адвокату способны общаться с доверителем без каких-либо препятствий. Особенно необходимо такое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полномочие при нахождении доверителя под стражей, то есть в уголовном судопроизводстве.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Адвокат имеет право проводить фиксацию 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формации, которая содержится в материалах дела. Речь идет именно о том деле, в котором принимает участие доверитель адвоката. Адвокат при фиксации такой информации обязан соблюдать охраняемые законом тайны.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данное полномочие позволяет адвокату без 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ки-либо препятствий фиксировать различными способами информацию, необходимую ему для защиты своего доверителя.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Адвокат имеет право реализовывать другие действия, которые не противоречат действующему законодательству.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Указанное полномочие свидетельствует о том, что полномочия адвоката, перечисленные в Законе об адвокатуре, не являются исчерпывающими. Так, адвокаты имеют право выйти за рамки тех полномочий, которые перечислены в Законе об адвокатуре. </w:t>
      </w:r>
      <w:r>
        <w:br w:type="page"/>
      </w:r>
    </w:p>
    <w:p w:rsidR="00413CBD" w:rsidRDefault="00E37FF1">
      <w:pPr>
        <w:pStyle w:val="1"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 задачи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sz w:val="28"/>
          <w:szCs w:val="28"/>
        </w:rPr>
        <w:t>ержанный по подозрению в совершении грабежа гражданин Щеглов заявил ходатайство о допуске в качестве защитника адвоката Васильева. Дознаватель связался с адвокатом, и тот согласился защищать Щеглова. Однако на следующий день, когда должен бы состояться доп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 Щеглова в качестве подозреваемого, адвокат не явился.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Какими должны быть действия дознавателя?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Решение: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 обязывает следователя допросить подозреваемого не позднее 24 часов с момента его фактического задержания (ч.2 ст.46 УПК РФ), а обвиняемого н</w:t>
      </w:r>
      <w:r>
        <w:rPr>
          <w:rFonts w:ascii="Times New Roman" w:eastAsia="Times New Roman" w:hAnsi="Times New Roman" w:cs="Times New Roman"/>
          <w:sz w:val="28"/>
          <w:szCs w:val="28"/>
        </w:rPr>
        <w:t>емедленно после предъявления ему обвинения (ч.1 ст.173 УПК РФ).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ч.4 ст.50 УПК РФ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в течение 24 часов с момента задержания подозреваемого или заключения подозреваемого, обвиняемого под стражу явка защитника, приглашенного им, невозможна, то до</w:t>
      </w:r>
      <w:r>
        <w:rPr>
          <w:rFonts w:ascii="Times New Roman" w:eastAsia="Times New Roman" w:hAnsi="Times New Roman" w:cs="Times New Roman"/>
          <w:sz w:val="28"/>
          <w:szCs w:val="28"/>
        </w:rPr>
        <w:t>знаватель или следователь принимает меры по назначению защитника в порядке, определенном советом Федеральной палаты адвокатов. При отказе подозреваемого, обвиняемого от назначенного защитника следственные действия с участием подозреваемого, обвиняемого мог</w:t>
      </w:r>
      <w:r>
        <w:rPr>
          <w:rFonts w:ascii="Times New Roman" w:eastAsia="Times New Roman" w:hAnsi="Times New Roman" w:cs="Times New Roman"/>
          <w:sz w:val="28"/>
          <w:szCs w:val="28"/>
        </w:rPr>
        <w:t>ут быть произведены без участия защитника, за исключением случаев, предусмотренных пунктами 2 - 7 части первой статьи 51 настоящего Кодекса.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следователь должен принять меры по назначению защитника, которые указаны в статье 5 Порядока назначе</w:t>
      </w:r>
      <w:r>
        <w:rPr>
          <w:rFonts w:ascii="Times New Roman" w:eastAsia="Times New Roman" w:hAnsi="Times New Roman" w:cs="Times New Roman"/>
          <w:sz w:val="28"/>
          <w:szCs w:val="28"/>
        </w:rPr>
        <w:t>ния адвокатов в качестве защитников в уголовном судопроизводстве (утв. Решением Совета Федеральной палаты адвокатов от 15.03.2019, протокол № 4). В том случае, если гражданин Щеглов откажется от адвоката по назначению, то следователь вправе провести допрос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Щеглова без участия адвоката, так как оснований для обязательного участия защитника, предусмотренных пунктами 2 - 7 части первой статьи 51 УПК РФ, по условию задачи нет. </w:t>
      </w:r>
    </w:p>
    <w:p w:rsidR="00413CBD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413CBD" w:rsidRDefault="00E37FF1">
      <w:pPr>
        <w:pStyle w:val="1"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Комплект документов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Вам необходимо составить комплект следующих документов по гражданскому делу от вашего имени: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соглашение об оказании юридической помощи;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ордер;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ходатайство о производстве процессуального действия;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адвокатский запрос;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речь в прениях сторо</w:t>
      </w:r>
      <w:r>
        <w:rPr>
          <w:rFonts w:ascii="Times New Roman" w:eastAsia="Times New Roman" w:hAnsi="Times New Roman" w:cs="Times New Roman"/>
          <w:sz w:val="28"/>
          <w:szCs w:val="28"/>
        </w:rPr>
        <w:t>н.</w:t>
      </w:r>
    </w:p>
    <w:p w:rsidR="00413CBD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СОГЛАШЕНИЕ №1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оказании юридической помощи </w:t>
      </w:r>
    </w:p>
    <w:p w:rsidR="00413CBD" w:rsidRDefault="00413CBD">
      <w:pPr>
        <w:spacing w:line="240" w:lineRule="auto"/>
        <w:ind w:right="-1050"/>
        <w:jc w:val="both"/>
        <w:rPr>
          <w:rFonts w:ascii="Times New Roman" w:eastAsia="Times New Roman" w:hAnsi="Times New Roman" w:cs="Times New Roman"/>
          <w:b/>
        </w:rPr>
      </w:pP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 Москва                                                                        «11» ноября 2021 года</w:t>
      </w:r>
    </w:p>
    <w:p w:rsidR="00413CBD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Адвокат, Емельянова Анастасия Анатольевна, зарегистрированный в реестре Адвокатской палаты города Москвы за №12, имеющий удостоверение №8325, выданное Главным управлением Министерства юстиции Российской Федерации по Москве от 09.11.2015, реестровый номер 7</w:t>
      </w:r>
      <w:r>
        <w:rPr>
          <w:rFonts w:ascii="Times New Roman" w:eastAsia="Times New Roman" w:hAnsi="Times New Roman" w:cs="Times New Roman"/>
          <w:sz w:val="28"/>
          <w:szCs w:val="28"/>
        </w:rPr>
        <w:t>7/11126, осуществляющий адвокатскую деятельность через Адвокатскую контору ЮВАО, именуемый в дальнейшем «Адвокат», и Черепанов И.В., паспорт гражданина Российской Федерации серия 1726 номер 128763, именуемый в дальнейшем «Доверитель», с другой стороны, зак</w:t>
      </w:r>
      <w:r>
        <w:rPr>
          <w:rFonts w:ascii="Times New Roman" w:eastAsia="Times New Roman" w:hAnsi="Times New Roman" w:cs="Times New Roman"/>
          <w:sz w:val="28"/>
          <w:szCs w:val="28"/>
        </w:rPr>
        <w:t>лючили настоящее Соглашение о нижеследующем: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Адвокат принимает на себя обязательство по оказанию юридической помощи 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представления интересов Доверителя в Преображенском районной суде г.Москвы по иску Иванова А.А. о возмещении материального ущерба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стадии рассмотрения в суде первой инстанции.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Адвокат осуществляет все необходимые действия, предусмотренные законодательством Российской Федерации, в интересах (Доверителя и (или) Подзащитного).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Доверитель обязуется оплатить данную работу.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настоя</w:t>
      </w:r>
      <w:r>
        <w:rPr>
          <w:rFonts w:ascii="Times New Roman" w:eastAsia="Times New Roman" w:hAnsi="Times New Roman" w:cs="Times New Roman"/>
          <w:sz w:val="28"/>
          <w:szCs w:val="28"/>
        </w:rPr>
        <w:t>щего Соглашения Адвокат обязан: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консультировать Доверителя по вопросам судебного разбирательства;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участвовать в качестве представителя Доверителя в Преображенской районном суде г. Москвы;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принимать все предусмотренные законом необходимые меры по о</w:t>
      </w:r>
      <w:r>
        <w:rPr>
          <w:rFonts w:ascii="Times New Roman" w:eastAsia="Times New Roman" w:hAnsi="Times New Roman" w:cs="Times New Roman"/>
          <w:sz w:val="28"/>
          <w:szCs w:val="28"/>
        </w:rPr>
        <w:t>беспечению законных прав и интересов Доверителя, оказывать ему квалифицированную юридическую помощь;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выполнять иные обязанности, возлагаемые законом на представителя на стадии рассмотрения в суде первой;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Доверитель в рамках исполнения настоящего Соглашения обязан: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сообщить Адвокату известную ему информацию, а также предоставить документы: копии материалов гражданского дела по исковому заявлению Иванова И.И. к Доверителю о возмещении материального ущерба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регулярно предоставлять Адвокату иные сведения, имеющие отношение к выполнению Адвокатом своих обязанностей, которые станут известными Доверителю в период действия настоящего Соглашения;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выдать доверенность на представление интересов в суде;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опл</w:t>
      </w:r>
      <w:r>
        <w:rPr>
          <w:rFonts w:ascii="Times New Roman" w:eastAsia="Times New Roman" w:hAnsi="Times New Roman" w:cs="Times New Roman"/>
          <w:sz w:val="28"/>
          <w:szCs w:val="28"/>
        </w:rPr>
        <w:t>атить услуги Адвоката в соответствии с настоящим Соглашением.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оказание услуг по настоящему Соглашению Доверитель выплачивает Адвокату сумму, составляющую 85 000 (восемьдесят пять тысяч) рублей. Настоящая сумма включает как сумму вознаграждения (гонорара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так и сумму возмещения расходов, прогнозируемых Адвокатом и связанных с обеспечением деятельности Адвоката при исполнении поручения по настоящему Соглашению  (оплата бензина, оплата парковки, стоимость проезда общественным транспортом, оплата обедов).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пошлина и иные платежи в федеральный или муниципальный бюджеты, стоимость услуг экспертов и привлеченных специалистов, стоимость билетов на пригородные электрички и поезда дальнего следования и стоимость билетов на самолет при 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поручения вне г. Москвы, а также иные расходы, которые могут возникнуть при исполнении поручения, за исключением расходов, указанных в п. 4 настоящего Соглашения, оплачиваются Доверителем отдельно при условии их предварительного согласования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последним. 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Оплата производится в следующем порядке: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вознаграждение в сумме 40 000 (сорока тысяч) рублей выплачивается при заключении настоящего Соглашения;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вознаграждение в сумме 45 000 (сорока пяти тысяч) рублей выплачивается после проведения последнего судебного заседания.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Оплата по настоящему Соглашению осуществляется путем внесения денежных средств на расчетный счет адвокатского образования.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оказан</w:t>
      </w:r>
      <w:r>
        <w:rPr>
          <w:rFonts w:ascii="Times New Roman" w:eastAsia="Times New Roman" w:hAnsi="Times New Roman" w:cs="Times New Roman"/>
          <w:sz w:val="28"/>
          <w:szCs w:val="28"/>
        </w:rPr>
        <w:t>ии юридической помощи, Адвокат не несет ответственность за решение, которые могут быть приняты правоохранительными, административными и судебными органами, а также органами государственной власти и местного самоуправления. Если Доверитель не согласен с при</w:t>
      </w:r>
      <w:r>
        <w:rPr>
          <w:rFonts w:ascii="Times New Roman" w:eastAsia="Times New Roman" w:hAnsi="Times New Roman" w:cs="Times New Roman"/>
          <w:sz w:val="28"/>
          <w:szCs w:val="28"/>
        </w:rPr>
        <w:t>нятым решением денежное вознаграждение Доверителю не возвращается.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Адвокат несет ответственность за невыполнение настоящего соглашения в пределах суммы вознаграждения в случае, если Адвокат не приступил к выполнению настоящего соглашения. При этом, Адвокат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возвратить Доверителю денежное вознаграждение в полном объеме.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Адвокат частично выполнил настоящее соглашение, а Доверитель внес денежное вознаграждение и решил досрочно расторгнуть настоящее соглашение, то денежное вознаграждение возвращается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Доверителю с учетом фактически выполненного объема работ Адвокатом. При этом Адвокат и Доверитель подписывают письменный отчет о проделанной работе Адвоката. Возврат денежного вознаграждения происходит без учета индекса инфляции, без выплаты процентов за </w:t>
      </w:r>
      <w:r>
        <w:rPr>
          <w:rFonts w:ascii="Times New Roman" w:eastAsia="Times New Roman" w:hAnsi="Times New Roman" w:cs="Times New Roman"/>
          <w:sz w:val="28"/>
          <w:szCs w:val="28"/>
        </w:rPr>
        <w:t>пользование чужими денежными средствами, а также без пени и штрафа. Адвокат обязан возвратить Доверителю по передаточному акту все полученные от последнего подлинные документы по делу и доверенность, если последняя была выдана Доверителем Адвокату.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 усл</w:t>
      </w:r>
      <w:r>
        <w:rPr>
          <w:rFonts w:ascii="Times New Roman" w:eastAsia="Times New Roman" w:hAnsi="Times New Roman" w:cs="Times New Roman"/>
          <w:sz w:val="28"/>
          <w:szCs w:val="28"/>
        </w:rPr>
        <w:t>овии, если Доверитель не выполняет свои обязательства, предусмотренные настоящим соглашением, Адвокат вправе в одностороннем порядке досрочно расторгнуть соглашение, предупредив об этом Доверителя за семь дней. При досрочном расторжении соглашения денежное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вознаграждение возвращается Доверителю соразмерно выполненной работе Адвокатом. При расторжении настоящего соглашения. Адвокат обязан возвратить Доверителю по передаточному акту все полученные от последнего подлинные документы по делу и доверенность, 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последняя была выдана Доверителем Адвокату.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Соглашение вступает в силу с момента его подписания обеими сторонами.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Действие настоящего Соглашения заканчивается после полного выполнения сторонами своих обязанностей по данному Соглашению. По требов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анию любой из сторон подписываются промежуточные или итоговый Акты выполненных работ (оказанных услуг).       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Стороны освобождаются от ответственности за неисполнение или ненадлежащее исполнение своих обязательств по настоящему Соглашению при возникновен</w:t>
      </w:r>
      <w:r>
        <w:rPr>
          <w:rFonts w:ascii="Times New Roman" w:eastAsia="Times New Roman" w:hAnsi="Times New Roman" w:cs="Times New Roman"/>
          <w:sz w:val="28"/>
          <w:szCs w:val="28"/>
        </w:rPr>
        <w:t>ии непреодолимых препятствий, под которыми понимаются стихийные бедствия, массовые беспорядки, запретительные действия властей и иные форс-мажорные обстоятельства.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Стороны обязуются решать все разногласия путем переговоров. Споры, которые могут возникнуть </w:t>
      </w:r>
      <w:r>
        <w:rPr>
          <w:rFonts w:ascii="Times New Roman" w:eastAsia="Times New Roman" w:hAnsi="Times New Roman" w:cs="Times New Roman"/>
          <w:sz w:val="28"/>
          <w:szCs w:val="28"/>
        </w:rPr>
        <w:t>из настоящего Соглашения, будут разрешаться в судебном порядке.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Соглашение составлено в двух экземплярах, по одному для каждой стороны, причем оба экземпляра имеют одинаковую юридическую силу.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Доверитель вправе в любое время отказаться от услуг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двоката. При этом Доверитель должен оплатить фактически оказанные Адвокатом услуги и документально подтвержденные расходы, связанные с исполнением поручения.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не исполнения либо ненадлежащего исполнения Адвокатом своих обязанностей, признанного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установленного решением судебных органов,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адвокатской палаты, сумма оплаты, полученная Адвокатом по настоящему Соглашению, подлежит возвращению Доверителю в полном объёме. 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неисполнения Доверителем обязанности по оплате услуг Адвоката либо исполн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 обязанности по оплате с опозданием на (указать срок), Адвокат вправе расторгнуть настоящее Соглашение, предупредив об этом Доверителя не позднее чем за 5 рабочих дней. </w:t>
      </w:r>
    </w:p>
    <w:p w:rsidR="00413CBD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Доверитель: ________________________________/________________________/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(фамилия, и.о.)</w:t>
      </w:r>
    </w:p>
    <w:p w:rsidR="00413CBD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Адвокат: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Тел.   ______________________________           </w:t>
      </w:r>
    </w:p>
    <w:p w:rsidR="00413CBD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М.П.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13CBD">
          <w:headerReference w:type="default" r:id="rId7"/>
          <w:headerReference w:type="first" r:id="rId8"/>
          <w:footerReference w:type="first" r:id="rId9"/>
          <w:pgSz w:w="11906" w:h="16838"/>
          <w:pgMar w:top="1133" w:right="566" w:bottom="1133" w:left="1700" w:header="720" w:footer="720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</w: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-571499</wp:posOffset>
                </wp:positionH>
                <wp:positionV relativeFrom="paragraph">
                  <wp:posOffset>292100</wp:posOffset>
                </wp:positionV>
                <wp:extent cx="6877050" cy="622935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6855" y="980920"/>
                          <a:ext cx="6638290" cy="55981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13CBD" w:rsidRDefault="00413CBD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292100</wp:posOffset>
                </wp:positionV>
                <wp:extent cx="6877050" cy="6229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6229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13CBD" w:rsidRDefault="00E37FF1">
      <w:pPr>
        <w:spacing w:before="48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Корешок ордера</w:t>
      </w:r>
    </w:p>
    <w:tbl>
      <w:tblPr>
        <w:tblStyle w:val="a5"/>
        <w:tblW w:w="49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"/>
        <w:gridCol w:w="851"/>
        <w:gridCol w:w="680"/>
        <w:gridCol w:w="397"/>
        <w:gridCol w:w="255"/>
        <w:gridCol w:w="1418"/>
        <w:gridCol w:w="369"/>
        <w:gridCol w:w="369"/>
        <w:gridCol w:w="284"/>
      </w:tblGrid>
      <w:tr w:rsidR="00413CBD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413CBD" w:rsidRDefault="00E37FF1">
      <w:pPr>
        <w:tabs>
          <w:tab w:val="right" w:pos="4962"/>
        </w:tabs>
        <w:spacing w:before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Адвокату  Емельяновой Анастасии Анатольевне</w:t>
      </w:r>
      <w:r>
        <w:rPr>
          <w:rFonts w:ascii="Times New Roman" w:eastAsia="Times New Roman" w:hAnsi="Times New Roman" w:cs="Times New Roman"/>
        </w:rPr>
        <w:tab/>
        <w:t>,</w:t>
      </w:r>
    </w:p>
    <w:p w:rsidR="00413CBD" w:rsidRDefault="00E37FF1">
      <w:pPr>
        <w:pBdr>
          <w:top w:val="single" w:sz="4" w:space="1" w:color="000000"/>
        </w:pBdr>
        <w:spacing w:line="240" w:lineRule="auto"/>
        <w:ind w:left="1007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(при наличии))</w:t>
      </w: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имеющему регистрационный номер  12</w:t>
      </w:r>
    </w:p>
    <w:p w:rsidR="00413CBD" w:rsidRDefault="00413CBD">
      <w:pPr>
        <w:pBdr>
          <w:top w:val="single" w:sz="4" w:space="1" w:color="000000"/>
        </w:pBdr>
        <w:spacing w:line="240" w:lineRule="auto"/>
        <w:ind w:left="3508"/>
        <w:rPr>
          <w:rFonts w:ascii="Times New Roman" w:eastAsia="Times New Roman" w:hAnsi="Times New Roman" w:cs="Times New Roman"/>
          <w:sz w:val="2"/>
          <w:szCs w:val="2"/>
        </w:rPr>
      </w:pP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реестре адвокатов  Адвокатской палаты </w:t>
      </w:r>
    </w:p>
    <w:p w:rsidR="00413CBD" w:rsidRDefault="00413CBD">
      <w:pPr>
        <w:pBdr>
          <w:top w:val="single" w:sz="4" w:space="1" w:color="000000"/>
        </w:pBdr>
        <w:spacing w:line="240" w:lineRule="auto"/>
        <w:ind w:left="1985"/>
        <w:rPr>
          <w:rFonts w:ascii="Times New Roman" w:eastAsia="Times New Roman" w:hAnsi="Times New Roman" w:cs="Times New Roman"/>
          <w:sz w:val="2"/>
          <w:szCs w:val="2"/>
        </w:rPr>
      </w:pP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города Москвы № 77/11126</w:t>
      </w:r>
    </w:p>
    <w:p w:rsidR="00413CBD" w:rsidRDefault="00E37FF1">
      <w:pPr>
        <w:pBdr>
          <w:top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Федерации)</w:t>
      </w: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удостоверение   № 8325, выданный Главным</w:t>
      </w:r>
    </w:p>
    <w:p w:rsidR="00413CBD" w:rsidRDefault="00E37FF1">
      <w:pPr>
        <w:pBdr>
          <w:top w:val="single" w:sz="4" w:space="1" w:color="000000"/>
        </w:pBdr>
        <w:spacing w:line="240" w:lineRule="auto"/>
        <w:ind w:left="14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(номер,</w:t>
      </w: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управлением Министерства юстиции Российской Федерации по Москве 09.11.2015</w:t>
      </w:r>
    </w:p>
    <w:p w:rsidR="00413CBD" w:rsidRDefault="00E37FF1">
      <w:pPr>
        <w:pBdr>
          <w:top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кем и когда выдано)</w:t>
      </w:r>
    </w:p>
    <w:tbl>
      <w:tblPr>
        <w:tblStyle w:val="a6"/>
        <w:tblW w:w="50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91"/>
        <w:gridCol w:w="1418"/>
        <w:gridCol w:w="142"/>
        <w:gridCol w:w="2268"/>
      </w:tblGrid>
      <w:tr w:rsidR="00413CBD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поручается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10.11.2021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413C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осуществлять услуги</w:t>
            </w:r>
          </w:p>
        </w:tc>
      </w:tr>
      <w:tr w:rsidR="00413CBD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413CB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(с какого числа)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413CB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(сущность поручения)</w:t>
            </w:r>
          </w:p>
        </w:tc>
      </w:tr>
    </w:tbl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представителя Черепанова Ивана Владимировича</w:t>
      </w:r>
    </w:p>
    <w:p w:rsidR="00413CBD" w:rsidRDefault="00E37FF1">
      <w:pPr>
        <w:pBdr>
          <w:top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(при наличии) физического лица или наименование юридического лица, чьи интересы представляются)</w:t>
      </w: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иску Иванова И.И. </w:t>
      </w:r>
    </w:p>
    <w:p w:rsidR="00413CBD" w:rsidRDefault="00E37FF1">
      <w:pPr>
        <w:pBdr>
          <w:top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(стадия рассмотрения дела или наименование органа, учреждения, организации)</w:t>
      </w: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Основания выдачи ордера   соглашение №1 </w:t>
      </w:r>
    </w:p>
    <w:p w:rsidR="00413CBD" w:rsidRDefault="00E37FF1">
      <w:pPr>
        <w:pBdr>
          <w:top w:val="single" w:sz="4" w:space="1" w:color="000000"/>
        </w:pBdr>
        <w:spacing w:line="240" w:lineRule="auto"/>
        <w:ind w:left="256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(реквизиты соглашения,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документа о назначении)</w:t>
      </w: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Ордер выдан  Коллегией адвокатов “ЦКА”</w:t>
      </w:r>
    </w:p>
    <w:p w:rsidR="00413CBD" w:rsidRDefault="00E37FF1">
      <w:pPr>
        <w:pBdr>
          <w:top w:val="single" w:sz="4" w:space="1" w:color="000000"/>
        </w:pBdr>
        <w:spacing w:line="240" w:lineRule="auto"/>
        <w:ind w:left="132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(полное наименование адвокатского образования)</w:t>
      </w: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адрес </w:t>
      </w:r>
      <w:r>
        <w:rPr>
          <w:rFonts w:ascii="Times New Roman" w:eastAsia="Times New Roman" w:hAnsi="Times New Roman" w:cs="Times New Roman"/>
        </w:rPr>
        <w:t xml:space="preserve"> г. Москва, переулок Сивцев Вражек, д.43</w:t>
      </w:r>
    </w:p>
    <w:p w:rsidR="00413CBD" w:rsidRDefault="00413CBD">
      <w:pPr>
        <w:pBdr>
          <w:top w:val="single" w:sz="4" w:space="1" w:color="000000"/>
        </w:pBdr>
        <w:spacing w:line="240" w:lineRule="auto"/>
        <w:ind w:left="629"/>
        <w:rPr>
          <w:rFonts w:ascii="Times New Roman" w:eastAsia="Times New Roman" w:hAnsi="Times New Roman" w:cs="Times New Roman"/>
          <w:sz w:val="2"/>
          <w:szCs w:val="2"/>
        </w:rPr>
      </w:pPr>
    </w:p>
    <w:p w:rsidR="00413CBD" w:rsidRDefault="00E37FF1">
      <w:pPr>
        <w:spacing w:line="240" w:lineRule="auto"/>
        <w:ind w:right="21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телефон  847374</w:t>
      </w:r>
    </w:p>
    <w:p w:rsidR="00413CBD" w:rsidRDefault="00413CBD">
      <w:pPr>
        <w:pBdr>
          <w:top w:val="single" w:sz="4" w:space="1" w:color="000000"/>
        </w:pBdr>
        <w:spacing w:line="240" w:lineRule="auto"/>
        <w:ind w:left="867" w:right="2125"/>
        <w:rPr>
          <w:rFonts w:ascii="Times New Roman" w:eastAsia="Times New Roman" w:hAnsi="Times New Roman" w:cs="Times New Roman"/>
          <w:sz w:val="2"/>
          <w:szCs w:val="2"/>
        </w:rPr>
      </w:pP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Ордер получил  </w:t>
      </w:r>
    </w:p>
    <w:p w:rsidR="00413CBD" w:rsidRDefault="00E37FF1">
      <w:pPr>
        <w:pBdr>
          <w:top w:val="single" w:sz="4" w:space="1" w:color="000000"/>
        </w:pBdr>
        <w:spacing w:line="240" w:lineRule="auto"/>
        <w:ind w:left="151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(подпись адвоката)</w:t>
      </w:r>
    </w:p>
    <w:tbl>
      <w:tblPr>
        <w:tblStyle w:val="a7"/>
        <w:tblW w:w="501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86"/>
        <w:gridCol w:w="113"/>
        <w:gridCol w:w="1191"/>
        <w:gridCol w:w="113"/>
        <w:gridCol w:w="1814"/>
      </w:tblGrid>
      <w:tr w:rsidR="00413CBD"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Адвокат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413C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413C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413C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413C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3CBD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 лица, выдавшего ордер)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413CB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413CB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</w:tr>
    </w:tbl>
    <w:p w:rsidR="00413CBD" w:rsidRDefault="00E37FF1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413CBD" w:rsidRDefault="00E37FF1">
      <w:pPr>
        <w:spacing w:before="48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ОРДЕР</w:t>
      </w:r>
    </w:p>
    <w:tbl>
      <w:tblPr>
        <w:tblStyle w:val="a8"/>
        <w:tblW w:w="49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"/>
        <w:gridCol w:w="851"/>
        <w:gridCol w:w="680"/>
        <w:gridCol w:w="397"/>
        <w:gridCol w:w="255"/>
        <w:gridCol w:w="1418"/>
        <w:gridCol w:w="369"/>
        <w:gridCol w:w="369"/>
        <w:gridCol w:w="284"/>
      </w:tblGrid>
      <w:tr w:rsidR="00413CBD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413CBD" w:rsidRDefault="00E37FF1">
      <w:pPr>
        <w:tabs>
          <w:tab w:val="right" w:pos="4962"/>
        </w:tabs>
        <w:spacing w:before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Адвокату  Емельяновой Анастасии Анатольевне</w:t>
      </w:r>
      <w:r>
        <w:rPr>
          <w:rFonts w:ascii="Times New Roman" w:eastAsia="Times New Roman" w:hAnsi="Times New Roman" w:cs="Times New Roman"/>
        </w:rPr>
        <w:tab/>
        <w:t>,</w:t>
      </w:r>
    </w:p>
    <w:p w:rsidR="00413CBD" w:rsidRDefault="00E37FF1">
      <w:pPr>
        <w:pBdr>
          <w:top w:val="single" w:sz="4" w:space="1" w:color="000000"/>
        </w:pBdr>
        <w:spacing w:line="240" w:lineRule="auto"/>
        <w:ind w:left="1007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(при наличии))</w:t>
      </w: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имеющему регистрационный номер   12</w:t>
      </w:r>
    </w:p>
    <w:p w:rsidR="00413CBD" w:rsidRDefault="00413CBD">
      <w:pPr>
        <w:pBdr>
          <w:top w:val="single" w:sz="4" w:space="1" w:color="000000"/>
        </w:pBdr>
        <w:spacing w:line="240" w:lineRule="auto"/>
        <w:ind w:left="3508"/>
        <w:rPr>
          <w:rFonts w:ascii="Times New Roman" w:eastAsia="Times New Roman" w:hAnsi="Times New Roman" w:cs="Times New Roman"/>
          <w:sz w:val="2"/>
          <w:szCs w:val="2"/>
        </w:rPr>
      </w:pP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реестре адвокатов   Адвокатской палаты </w:t>
      </w:r>
    </w:p>
    <w:p w:rsidR="00413CBD" w:rsidRDefault="00413CBD">
      <w:pPr>
        <w:pBdr>
          <w:top w:val="single" w:sz="4" w:space="1" w:color="000000"/>
        </w:pBdr>
        <w:spacing w:line="240" w:lineRule="auto"/>
        <w:ind w:left="1985"/>
        <w:rPr>
          <w:rFonts w:ascii="Times New Roman" w:eastAsia="Times New Roman" w:hAnsi="Times New Roman" w:cs="Times New Roman"/>
          <w:sz w:val="2"/>
          <w:szCs w:val="2"/>
        </w:rPr>
      </w:pP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города Москвы № 77/11126</w:t>
      </w:r>
    </w:p>
    <w:p w:rsidR="00413CBD" w:rsidRDefault="00E37FF1">
      <w:pPr>
        <w:pBdr>
          <w:top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(наименование субъекта Российской Федерации)</w:t>
      </w: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удостоверение  № 8325, выданный  Главным</w:t>
      </w:r>
    </w:p>
    <w:p w:rsidR="00413CBD" w:rsidRDefault="00E37FF1">
      <w:pPr>
        <w:pBdr>
          <w:top w:val="single" w:sz="4" w:space="1" w:color="000000"/>
        </w:pBdr>
        <w:spacing w:line="240" w:lineRule="auto"/>
        <w:ind w:left="14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(номер,</w:t>
      </w: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управлением Министерства юстиции Российской Федерации по Москве 09.11.2015</w:t>
      </w:r>
    </w:p>
    <w:p w:rsidR="00413CBD" w:rsidRDefault="00E37FF1">
      <w:pPr>
        <w:pBdr>
          <w:top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кем и когда выдано)</w:t>
      </w:r>
    </w:p>
    <w:tbl>
      <w:tblPr>
        <w:tblStyle w:val="a9"/>
        <w:tblW w:w="50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91"/>
        <w:gridCol w:w="1418"/>
        <w:gridCol w:w="142"/>
        <w:gridCol w:w="2268"/>
      </w:tblGrid>
      <w:tr w:rsidR="00413CBD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поручается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10.11.2021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413C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осуществлять услуги</w:t>
            </w:r>
          </w:p>
        </w:tc>
      </w:tr>
      <w:tr w:rsidR="00413CBD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413CB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(с какого числа)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413CB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(сущность поручения)</w:t>
            </w:r>
          </w:p>
        </w:tc>
      </w:tr>
    </w:tbl>
    <w:p w:rsidR="00413CBD" w:rsidRDefault="00E37FF1">
      <w:pPr>
        <w:spacing w:line="240" w:lineRule="auto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представителя Черепанова Ивана Владимировича </w:t>
      </w:r>
    </w:p>
    <w:p w:rsidR="00413CBD" w:rsidRDefault="00E37FF1">
      <w:pPr>
        <w:pBdr>
          <w:top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(при наличии) физического лица или наименование юридического лица, чьи интересы представляются)</w:t>
      </w: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иску Иванова И.И.</w:t>
      </w:r>
    </w:p>
    <w:p w:rsidR="00413CBD" w:rsidRDefault="00E37FF1">
      <w:pPr>
        <w:pBdr>
          <w:top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(стадия рассмотрения дела и/или наименование органа, учреждения, организации)</w:t>
      </w: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Основания выдачи ордера  соглашение №1</w:t>
      </w:r>
    </w:p>
    <w:p w:rsidR="00413CBD" w:rsidRDefault="00E37FF1">
      <w:pPr>
        <w:pBdr>
          <w:top w:val="single" w:sz="4" w:space="1" w:color="000000"/>
        </w:pBdr>
        <w:spacing w:line="240" w:lineRule="auto"/>
        <w:ind w:left="256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(реквизиты соглашения,</w:t>
      </w:r>
      <w:r>
        <w:rPr>
          <w:rFonts w:ascii="Times New Roman" w:eastAsia="Times New Roman" w:hAnsi="Times New Roman" w:cs="Times New Roman"/>
          <w:sz w:val="16"/>
          <w:szCs w:val="16"/>
        </w:rPr>
        <w:br/>
        <w:t>документа о назначении)</w:t>
      </w: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Ордер выдан  Коллегией адвокатов “ЦКА”</w:t>
      </w:r>
    </w:p>
    <w:p w:rsidR="00413CBD" w:rsidRDefault="00E37FF1">
      <w:pPr>
        <w:pBdr>
          <w:top w:val="single" w:sz="4" w:space="1" w:color="000000"/>
        </w:pBdr>
        <w:spacing w:line="240" w:lineRule="auto"/>
        <w:ind w:left="132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(полное наименование адвокатского образования)</w:t>
      </w:r>
    </w:p>
    <w:p w:rsidR="00413CBD" w:rsidRDefault="00E37F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  г. Москва, переулок Сивцев Вражек, д.43</w:t>
      </w:r>
    </w:p>
    <w:p w:rsidR="00413CBD" w:rsidRDefault="00413CBD">
      <w:pPr>
        <w:pBdr>
          <w:top w:val="single" w:sz="4" w:space="1" w:color="000000"/>
        </w:pBdr>
        <w:spacing w:line="240" w:lineRule="auto"/>
        <w:ind w:left="629"/>
        <w:rPr>
          <w:rFonts w:ascii="Times New Roman" w:eastAsia="Times New Roman" w:hAnsi="Times New Roman" w:cs="Times New Roman"/>
          <w:sz w:val="2"/>
          <w:szCs w:val="2"/>
        </w:rPr>
      </w:pPr>
    </w:p>
    <w:p w:rsidR="00413CBD" w:rsidRDefault="00E37FF1">
      <w:pPr>
        <w:spacing w:line="240" w:lineRule="auto"/>
        <w:ind w:right="21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телефон  847374</w:t>
      </w:r>
    </w:p>
    <w:p w:rsidR="00413CBD" w:rsidRDefault="00413CBD">
      <w:pPr>
        <w:pBdr>
          <w:top w:val="single" w:sz="4" w:space="1" w:color="000000"/>
        </w:pBdr>
        <w:spacing w:line="240" w:lineRule="auto"/>
        <w:ind w:left="867" w:right="2125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a"/>
        <w:tblW w:w="501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86"/>
        <w:gridCol w:w="113"/>
        <w:gridCol w:w="1191"/>
        <w:gridCol w:w="113"/>
        <w:gridCol w:w="1814"/>
      </w:tblGrid>
      <w:tr w:rsidR="00413CBD"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Адвокат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413C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413C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BD" w:rsidRDefault="00413CB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3CBD" w:rsidRDefault="00413C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3CBD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 лица, выдавшего ордер)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413CB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413CB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13CBD" w:rsidRDefault="00E37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</w:tr>
    </w:tbl>
    <w:p w:rsidR="00413CBD" w:rsidRDefault="00E37FF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413CBD">
          <w:type w:val="continuous"/>
          <w:pgSz w:w="11906" w:h="16838"/>
          <w:pgMar w:top="851" w:right="680" w:bottom="567" w:left="1021" w:header="397" w:footer="397" w:gutter="0"/>
          <w:cols w:num="2" w:sep="1" w:space="720" w:equalWidth="0">
            <w:col w:w="4960" w:space="284"/>
            <w:col w:w="4960" w:space="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413CBD" w:rsidRDefault="00413C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CBD" w:rsidRDefault="00413C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CBD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</w:p>
    <w:p w:rsidR="00413CBD" w:rsidRDefault="00E37FF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Судье Преображенского районного суда г. Москвы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8"/>
          <w:szCs w:val="28"/>
        </w:rPr>
        <w:t>2-я ул. Бухвостова, 4, Москва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адвоката Емельяновой Анастасии Анатольевны,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рег. номер в реестре адвокатов №12</w:t>
      </w:r>
    </w:p>
    <w:p w:rsidR="00413CBD" w:rsidRDefault="00E37FF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928479287,</w:t>
      </w:r>
    </w:p>
    <w:p w:rsidR="00413CBD" w:rsidRDefault="00E37FF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осуществляющего деятельность</w:t>
      </w:r>
    </w:p>
    <w:p w:rsidR="00413CBD" w:rsidRDefault="00E37FF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Адвокатской конторе ЮВАО,</w:t>
      </w:r>
    </w:p>
    <w:p w:rsidR="00413CBD" w:rsidRDefault="00E37FF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г. Москва, ул. Бауманская, дом 33/2,</w:t>
      </w:r>
    </w:p>
    <w:p w:rsidR="00413CBD" w:rsidRDefault="00E37FF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стр. 1, эт. 3, пом. II, ком. 1-16</w:t>
      </w:r>
    </w:p>
    <w:p w:rsidR="00413CBD" w:rsidRDefault="00E37FF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соглашения</w:t>
      </w:r>
    </w:p>
    <w:p w:rsidR="00413CBD" w:rsidRDefault="00E37FF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 от 11.11.2021 г.</w:t>
      </w:r>
    </w:p>
    <w:p w:rsidR="00413CBD" w:rsidRDefault="00413CB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Ходатайство о производстве процессуального действия </w:t>
      </w:r>
    </w:p>
    <w:p w:rsidR="00413CBD" w:rsidRDefault="00413C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установления обстоятельств, имеющих значение для гражданского дела по иску Иванова И.И. к Черепанову Ивану Владимировичу о возмещении матер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иального ущерба, прошу провести техническую экспертизу следующих документов: договор аренды сейфовой ячейки, заключенный между АО  «Черноморский банк развития и реконструкции» и Ивановым А.А.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проведения технической экспертизы необходимо решить след</w:t>
      </w:r>
      <w:r>
        <w:rPr>
          <w:rFonts w:ascii="Times New Roman" w:eastAsia="Times New Roman" w:hAnsi="Times New Roman" w:cs="Times New Roman"/>
          <w:sz w:val="28"/>
          <w:szCs w:val="28"/>
        </w:rPr>
        <w:t>ующие вопросы: Каким пишущим прибором, сделаны записи? Сделана ли подпись с проведенной предварительно технической подготовкой, или с помощью специального штампа - факсимиле? Существуют ли в рукописи изменения, такие как дописки, дорисовка некоторых штрихо</w:t>
      </w:r>
      <w:r>
        <w:rPr>
          <w:rFonts w:ascii="Times New Roman" w:eastAsia="Times New Roman" w:hAnsi="Times New Roman" w:cs="Times New Roman"/>
          <w:sz w:val="28"/>
          <w:szCs w:val="28"/>
        </w:rPr>
        <w:t>в, дорисовка одних штрихов поверх других штрихов? Имела ли место дописка каких – либо штрихов, цифр, значков, знаков или слов, после того времени, как документ был составлен? Время, указанное в дате соответствует ли времени выполнения документа?</w:t>
      </w:r>
    </w:p>
    <w:p w:rsidR="00413CBD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Принятие д</w:t>
      </w:r>
      <w:r>
        <w:rPr>
          <w:rFonts w:ascii="Times New Roman" w:eastAsia="Times New Roman" w:hAnsi="Times New Roman" w:cs="Times New Roman"/>
          <w:sz w:val="28"/>
          <w:szCs w:val="28"/>
        </w:rPr>
        <w:t>анных мер необходимо для обеспечения прав и законных интересов Черепанова Ивана Владимировича.</w:t>
      </w:r>
    </w:p>
    <w:p w:rsidR="00413CBD" w:rsidRDefault="00413C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13CBD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 Емельянова А.А. _______________ подпись </w:t>
      </w:r>
    </w:p>
    <w:p w:rsidR="00413CBD" w:rsidRDefault="00413C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Рег. №23 от 11.11.2021 г.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банк ВТБ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адрес: г. Москва,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Пятницкая, д.21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адвоката Емельяновой Анастасии Анатольевны,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рег. номер в реестре адвокатов №12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928479287,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осуществляющего деятельность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Адвокатской конторе ЮВАО,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Москва, ул. Бауманская, дом 33/2,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стр. 1, эт. 3, пом. II, ком. 1-16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согл</w:t>
      </w:r>
      <w:r>
        <w:rPr>
          <w:rFonts w:ascii="Times New Roman" w:eastAsia="Times New Roman" w:hAnsi="Times New Roman" w:cs="Times New Roman"/>
          <w:sz w:val="28"/>
          <w:szCs w:val="28"/>
        </w:rPr>
        <w:t>ашения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 от 11.11.2021 г.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АДВОКАТСКИЙ ЗАПРОС</w:t>
      </w:r>
    </w:p>
    <w:p w:rsidR="00413CBD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подп. 1) п. 3 ст. 6 и п. 1 ст. 6.1 Федерального закона № 63-ФЗ от 31.05.2002 г. «Об адвокатской деятельности и адвокатуре в Российской Федерации» в целях оказания квалифицированной юридической помощи прошу сообщить сведения о дате доступа </w:t>
      </w:r>
      <w:r>
        <w:rPr>
          <w:rFonts w:ascii="Times New Roman" w:eastAsia="Times New Roman" w:hAnsi="Times New Roman" w:cs="Times New Roman"/>
          <w:sz w:val="28"/>
          <w:szCs w:val="28"/>
        </w:rPr>
        <w:t>к сейфовой ячейке №22, арендованной на основании договора № 9 от 09.10.2018 г., в период с 09.10.2018 г. по 09.10.2021 г.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Запрашиваемая информация не относится к банковской тайне, поскольку согласно абз. 1 ст. 26 Федерального закона от 02.12.1990 № 395-1 «</w:t>
      </w:r>
      <w:r>
        <w:rPr>
          <w:rFonts w:ascii="Times New Roman" w:eastAsia="Times New Roman" w:hAnsi="Times New Roman" w:cs="Times New Roman"/>
          <w:sz w:val="28"/>
          <w:szCs w:val="28"/>
        </w:rPr>
        <w:t>О банках и банковской деятельности» «Кредитная организация, Банк России, организация, осуществляющая функции по обязательному страхованию вкладов, гарантируют тайну об операциях, о счетах и вкладах своих клиентов и корреспондентов».</w:t>
      </w:r>
    </w:p>
    <w:p w:rsidR="00413CBD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 прошу выдать на р</w:t>
      </w:r>
      <w:r>
        <w:rPr>
          <w:rFonts w:ascii="Times New Roman" w:eastAsia="Times New Roman" w:hAnsi="Times New Roman" w:cs="Times New Roman"/>
          <w:sz w:val="28"/>
          <w:szCs w:val="28"/>
        </w:rPr>
        <w:t>уки предъявителю настоящего запроса.</w:t>
      </w:r>
    </w:p>
    <w:p w:rsidR="00413CBD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Неправомерный отказ в предоставлении адвокату информации, предоставление которой предусмотрено федеральными законами, либо несвоевременное ее предоставление, либо предоставление заведомо недостоверной информации влекут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в соответствие со ст.5.39 КоАП РФ в размере от 5 до 10 тыс. рублей. </w:t>
      </w:r>
    </w:p>
    <w:p w:rsidR="00413CBD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Заранее благодарю за ответ.</w:t>
      </w:r>
    </w:p>
    <w:p w:rsidR="00413CBD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15.11.2021</w:t>
      </w:r>
    </w:p>
    <w:p w:rsidR="00413CBD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Адвокат Емельянова А.А. _______________ подпись </w:t>
      </w:r>
    </w:p>
    <w:p w:rsidR="00413CBD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копия адвокатского ордера</w:t>
      </w:r>
    </w:p>
    <w:p w:rsidR="00413CBD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суд!</w:t>
      </w:r>
    </w:p>
    <w:p w:rsidR="00413CBD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Сторона ответчика считает, что доказательств вины моего доверителя Черепанова Ивана Владимировича в причинении материального ущерба истцу Иванову И.И. не имеется, а поэтому в удовлетворении ее исковых требований мы предлагаем суду отказать в полном объеме.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Основаниями для отказа являются также допущенные истцовой стороной нарушения требований гражданско-процессуального законодательства, о которых также пойдет речь ниже.</w:t>
      </w:r>
    </w:p>
    <w:p w:rsidR="00413CBD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Гражданин Иванов А.А. обратился с исковыми требованиями к Черепанову Ивану Владимирович</w:t>
      </w:r>
      <w:r>
        <w:rPr>
          <w:rFonts w:ascii="Times New Roman" w:eastAsia="Times New Roman" w:hAnsi="Times New Roman" w:cs="Times New Roman"/>
          <w:sz w:val="28"/>
          <w:szCs w:val="28"/>
        </w:rPr>
        <w:t>у (далее - ответчик), и, уточнив исковые требования, окончательно просил взыскать с ответчика в свою пользу денежные средства в размере 290 000 долларов США и штраф в размере 9 177 195 рублей.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 мотивированы тем, что Иванов А.А. заключил д</w:t>
      </w:r>
      <w:r>
        <w:rPr>
          <w:rFonts w:ascii="Times New Roman" w:eastAsia="Times New Roman" w:hAnsi="Times New Roman" w:cs="Times New Roman"/>
          <w:sz w:val="28"/>
          <w:szCs w:val="28"/>
        </w:rPr>
        <w:t>оговор аренды сейфовой ячейки у АО  «Черноморский банк развития и реконструкции», однако, так как он часто разъезжал по другим странам, он отдал ключ от ячейки Черепанову И.В. на хранение. Дополнительными соглашения срок действия договора неоднократно прод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левался, последний раз с 09.10.2020 г. по 09.10.2021 г.. Истец указывает, что 15.10.2020 он поместил в банковскую ячейку денежные средства в размере 300 000 долларов США в запаянном полиэтиленовом пакете. Далее истец доложил в ячейку 300 000 долларов США. </w:t>
      </w:r>
      <w:r>
        <w:rPr>
          <w:rFonts w:ascii="Times New Roman" w:eastAsia="Times New Roman" w:hAnsi="Times New Roman" w:cs="Times New Roman"/>
          <w:sz w:val="28"/>
          <w:szCs w:val="28"/>
        </w:rPr>
        <w:t>Денежные средства являлись семейными накоплениями истца. 02.10.2021 из звонка сотрудников АО истцу стало известно о неких проблемах с банковскими ячейками. По приезду в отделение банка истец обнаружил в ячейке недостачу 290 000 долларов США. Истец указывае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т, что ему были причинены убытки в указанном размере, ответственность за причинение которых несет ответчик. По мнению истца Черепанов И.В. должен был следить за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состояние банковской ячейки и узнавать о всех изменениях, происходящих в АО «Черноморский банк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развития и реконструкции». Однако соглашения между истцом и ответчиком заключено не было. Истец также направил в адрес ответчика претензию о возмещении причиненных ему убытков, которая осталась без удовлетворения, в связи с чем полагает, что с ответчика по</w:t>
      </w:r>
      <w:r>
        <w:rPr>
          <w:rFonts w:ascii="Times New Roman" w:eastAsia="Times New Roman" w:hAnsi="Times New Roman" w:cs="Times New Roman"/>
          <w:sz w:val="28"/>
          <w:szCs w:val="28"/>
        </w:rPr>
        <w:t>длежит взысканию штраф в размере 50% от присужденной судом денежной суммы.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факту хищения 16.10.2021 следователем Следственного отдела по Зеленоградскому административному округу было возбуждено уголовное дело №. Основанием для возбуждения послужили достаточные данные, содержащиеся в материалах проверки, указывающие на наличие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признаков состава преступления, предусмотренного п. «б» ч. 4 ст. </w:t>
      </w:r>
      <w:hyperlink r:id="rId11">
        <w:r>
          <w:rPr>
            <w:rFonts w:ascii="Times New Roman" w:eastAsia="Times New Roman" w:hAnsi="Times New Roman" w:cs="Times New Roman"/>
            <w:sz w:val="28"/>
            <w:szCs w:val="28"/>
          </w:rPr>
          <w:t>158 УК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Предварительным следствием было установлено и доказано, что Черепанов И.В. не совер</w:t>
      </w:r>
      <w:r>
        <w:rPr>
          <w:rFonts w:ascii="Times New Roman" w:eastAsia="Times New Roman" w:hAnsi="Times New Roman" w:cs="Times New Roman"/>
          <w:sz w:val="28"/>
          <w:szCs w:val="28"/>
        </w:rPr>
        <w:t>шал противоправных уголовно-наказуемых деяний и не совершал кражу денежных средств с банковской ячейки, ключ хранил в сейфе и никогда им не пользовался.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886 Гражданского кодекса Российской Федерации по договору хранения одна сторона (хран</w:t>
      </w:r>
      <w:r>
        <w:rPr>
          <w:rFonts w:ascii="Times New Roman" w:eastAsia="Times New Roman" w:hAnsi="Times New Roman" w:cs="Times New Roman"/>
          <w:sz w:val="28"/>
          <w:szCs w:val="28"/>
        </w:rPr>
        <w:t>итель) обязуется хранить вещь, переданную ей другой стороной (поклажедателем), и возвратить эту вещь в сохранности.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922 Гражданского кодекса Российской Федерации договором хранения ценностей в банке может быть предусмотрено их хра</w:t>
      </w:r>
      <w:r>
        <w:rPr>
          <w:rFonts w:ascii="Times New Roman" w:eastAsia="Times New Roman" w:hAnsi="Times New Roman" w:cs="Times New Roman"/>
          <w:sz w:val="28"/>
          <w:szCs w:val="28"/>
        </w:rPr>
        <w:t>нение с использованием поклажедателем (клиентом) или с предоставлением ему охраняемого банком индивидуального банковского сейфа (ячейки сейфа, изолированного помещения в банке). По договору хранения ценностей в индивидуальном банковском сейфе клиенту предо</w:t>
      </w:r>
      <w:r>
        <w:rPr>
          <w:rFonts w:ascii="Times New Roman" w:eastAsia="Times New Roman" w:hAnsi="Times New Roman" w:cs="Times New Roman"/>
          <w:sz w:val="28"/>
          <w:szCs w:val="28"/>
        </w:rPr>
        <w:t>ставляется право самому помещать ценности в сейф и изымать их из сейфа, для чего ему должны быть выданы ключ от сейфа, карточка, позволяющая идентифицировать клиента, либо иной знак или документ, удостоверяющие право клиента на доступ к сейфу и его содержи</w:t>
      </w:r>
      <w:r>
        <w:rPr>
          <w:rFonts w:ascii="Times New Roman" w:eastAsia="Times New Roman" w:hAnsi="Times New Roman" w:cs="Times New Roman"/>
          <w:sz w:val="28"/>
          <w:szCs w:val="28"/>
        </w:rPr>
        <w:t>мому.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ч. 3 ст. 922 Гражданского кодекса Российской Федерации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</w:t>
      </w:r>
      <w:r>
        <w:rPr>
          <w:rFonts w:ascii="Times New Roman" w:eastAsia="Times New Roman" w:hAnsi="Times New Roman" w:cs="Times New Roman"/>
          <w:sz w:val="28"/>
          <w:szCs w:val="28"/>
        </w:rPr>
        <w:t>е чьего-либо контроля, в том числе и со стороны банка.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Банк обязан осуществлять контроль за доступом в помещение, где находится предоставленный клиенту сейф.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договором хранения ценностей в банке с предоставлением клиенту индивидуального банковского се</w:t>
      </w:r>
      <w:r>
        <w:rPr>
          <w:rFonts w:ascii="Times New Roman" w:eastAsia="Times New Roman" w:hAnsi="Times New Roman" w:cs="Times New Roman"/>
          <w:sz w:val="28"/>
          <w:szCs w:val="28"/>
        </w:rPr>
        <w:t>йфа не предусмотрено иное, банк освобождается от ответственности за несохранность содержимого сейфа, если докажет, что по условиям хранения доступ кого-либо к сейфу без ведома клиента был невозможен либо стал возможным вследствие непреодолимой силы.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</w:t>
      </w:r>
      <w:r>
        <w:rPr>
          <w:rFonts w:ascii="Times New Roman" w:eastAsia="Times New Roman" w:hAnsi="Times New Roman" w:cs="Times New Roman"/>
          <w:sz w:val="28"/>
          <w:szCs w:val="28"/>
        </w:rPr>
        <w:t>но ч. 4 ст. 922 Гражданского кодекса Российской Федерации к договору о предоставлении банковского сейфа в пользование другому лицу без ответственности банка за содержимое сейфа применяются правила данного Кодекса о договоре аренды.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60</w:t>
      </w:r>
      <w:r>
        <w:rPr>
          <w:rFonts w:ascii="Times New Roman" w:eastAsia="Times New Roman" w:hAnsi="Times New Roman" w:cs="Times New Roman"/>
          <w:sz w:val="28"/>
          <w:szCs w:val="28"/>
        </w:rPr>
        <w:t>6 Гражданского кодекса Российской Федерации по договору аренды (имущественного найма) арендодатель (наймодатель) обязуется предоставить арендатору (нанимателю) имущество за плату во временное владение и пользование или во временное пользование.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вии с ч. 3 ст. 607 Гражданского кодекса Российской Федерации в договоре аренды должны быть указаны данные, позволяющие определенно установить имущество, подлежащее передаче арендатору в качестве объекта аренды. При отсутствии этих данных в договоре условие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объекте, подлежащем передаче в аренду, считается не согласованным сторонами, а соответствующий договор не считается заключенным.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смыслу приведенных положений закона, Банк в рамках таких правоотношений при отсутствии иных указаний в договоре несет 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ветственность за сохранность содержимого ячейки и может быть освобожден от нее, только если докажет, что по условиям хранения доступ кого-либо к сейфу без ведома клиента был невозможен либо стал возможным вследствие непреодолимой силы.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анализа приведенн</w:t>
      </w:r>
      <w:r>
        <w:rPr>
          <w:rFonts w:ascii="Times New Roman" w:eastAsia="Times New Roman" w:hAnsi="Times New Roman" w:cs="Times New Roman"/>
          <w:sz w:val="28"/>
          <w:szCs w:val="28"/>
        </w:rPr>
        <w:t>ых положений следует, что к спорным правоотношениям применяются предусмотренные Гражданским кодексом Российской Федерации правила о договоре хранения ценностей в индивидуальном банковском сейфе, в соответствии с которыми ответчик несет ответственность за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бытки, причиненные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клиенту в результате утраты содержимого сейфа в связи с ненадлежащим исполнением обязательств по охране сейфа.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Банк несет ответственность за убытки, причиненные клиенту в результате утраты содержимого сейфа в случае ненадлежащего исполне</w:t>
      </w:r>
      <w:r>
        <w:rPr>
          <w:rFonts w:ascii="Times New Roman" w:eastAsia="Times New Roman" w:hAnsi="Times New Roman" w:cs="Times New Roman"/>
          <w:sz w:val="28"/>
          <w:szCs w:val="28"/>
        </w:rPr>
        <w:t>ния обязательств по охране сейфа.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 мой доверитель Черепанов Иван Владимирович не обладал обязанностями, предусмотренными договор о предоставлении банковского сейфа, и не может нести ответственность за убытки, причиненные Иванову А.А. При этом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достоверно установлено, что никаких соглашений между Черепановым И.В. и Ивановым А.А. достигнуто не было.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вышеизложенное позволяет ответной стороне  обоснованно ставить перед судом вопрос об отказе в удовлетворении исковых требований истца Иванова А.А</w:t>
      </w:r>
      <w:r>
        <w:rPr>
          <w:rFonts w:ascii="Times New Roman" w:eastAsia="Times New Roman" w:hAnsi="Times New Roman" w:cs="Times New Roman"/>
          <w:sz w:val="28"/>
          <w:szCs w:val="28"/>
        </w:rPr>
        <w:t>. к ответчику Черепанову И,В.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выступлений прошу приобщить к материалам дела.</w:t>
      </w:r>
    </w:p>
    <w:p w:rsidR="00413CBD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Адвокат: Емельянова А.А.</w:t>
      </w:r>
    </w:p>
    <w:p w:rsidR="00413CBD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Тел.   ______________________________           </w:t>
      </w:r>
    </w:p>
    <w:p w:rsidR="00413CBD" w:rsidRDefault="00413C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3CBD" w:rsidRDefault="00E37FF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М.П.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413CBD" w:rsidRDefault="00E37FF1">
      <w:pPr>
        <w:pStyle w:val="1"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3znysh7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Список использованных источников и литературы 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Нормативные правовые акты</w:t>
      </w:r>
    </w:p>
    <w:p w:rsidR="00413CBD" w:rsidRDefault="00E37F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Уголовно-процессуальный кодекс Российской Федерации от 18.12.2001 № 174-ФЗ (ред. от 01.07.2021, с изм. от 23.09.2021) // Собрание законодательства Российской Федерации от 2001 г., № 52, ст. 4921</w:t>
      </w:r>
    </w:p>
    <w:p w:rsidR="00413CBD" w:rsidRDefault="00E37F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31.05.2002 № 63-ФЗ (ред. от 31.07.2020) </w:t>
      </w:r>
      <w:r>
        <w:rPr>
          <w:rFonts w:ascii="Times New Roman" w:eastAsia="Times New Roman" w:hAnsi="Times New Roman" w:cs="Times New Roman"/>
          <w:sz w:val="28"/>
          <w:szCs w:val="28"/>
        </w:rPr>
        <w:t>"Об адвокатской деятельности и адвокатуре в Российской Федерации" (с изм. и доп., вступ. в силу с 01.03.2021) // Собрание   законодательства Российской  Федерации от 2000 г., № 32, ст. 3341</w:t>
      </w:r>
    </w:p>
    <w:p w:rsidR="00413CBD" w:rsidRDefault="00E37F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Специальная литература</w:t>
      </w:r>
    </w:p>
    <w:p w:rsidR="00413CBD" w:rsidRDefault="00E37F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Карабчевский Н.П. Судебные речи / Н. П. Кар</w:t>
      </w:r>
      <w:r>
        <w:rPr>
          <w:rFonts w:ascii="Times New Roman" w:eastAsia="Times New Roman" w:hAnsi="Times New Roman" w:cs="Times New Roman"/>
          <w:sz w:val="28"/>
          <w:szCs w:val="28"/>
        </w:rPr>
        <w:t>абчевский, Г. М. Резник. – М.: Юрайт. - 2018. - 291 с.</w:t>
      </w:r>
    </w:p>
    <w:p w:rsidR="00413CBD" w:rsidRDefault="00E37F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Пилипенко Ю.С. Научно-практический комментарий к Кодексу профессиональной этики адвоката / Ю.С. Пилипенко. – М.: Федеральная палата адвокатов РФ. - 2013. - 153 с.  </w:t>
      </w:r>
    </w:p>
    <w:p w:rsidR="00413CBD" w:rsidRDefault="00E37FF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Трунова И.Л. Адвокатская деятельност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и адвокатура в России. Введение в специальность /  И.Л. Трунова. - М.: Проспект. - 2006. - 168 с.  </w:t>
      </w:r>
    </w:p>
    <w:p w:rsidR="00413CBD" w:rsidRDefault="00413C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13CBD">
      <w:type w:val="continuous"/>
      <w:pgSz w:w="11906" w:h="16838"/>
      <w:pgMar w:top="851" w:right="680" w:bottom="567" w:left="102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F1" w:rsidRDefault="00E37FF1">
      <w:pPr>
        <w:spacing w:line="240" w:lineRule="auto"/>
      </w:pPr>
      <w:r>
        <w:separator/>
      </w:r>
    </w:p>
  </w:endnote>
  <w:endnote w:type="continuationSeparator" w:id="0">
    <w:p w:rsidR="00E37FF1" w:rsidRDefault="00E37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BD" w:rsidRDefault="00413CB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F1" w:rsidRDefault="00E37FF1">
      <w:pPr>
        <w:spacing w:line="240" w:lineRule="auto"/>
      </w:pPr>
      <w:r>
        <w:separator/>
      </w:r>
    </w:p>
  </w:footnote>
  <w:footnote w:type="continuationSeparator" w:id="0">
    <w:p w:rsidR="00E37FF1" w:rsidRDefault="00E37FF1">
      <w:pPr>
        <w:spacing w:line="240" w:lineRule="auto"/>
      </w:pPr>
      <w:r>
        <w:continuationSeparator/>
      </w:r>
    </w:p>
  </w:footnote>
  <w:footnote w:id="1">
    <w:p w:rsidR="00413CBD" w:rsidRDefault="00E37FF1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Федеральный закон от 31.05.2002 № 63-ФЗ (ред. от 31.07.2020) "Об адвокатской деятельности и адвокатуре в Российской Федерации" (с изм. и доп., вступ. в силу с 01.03.2021) // Собрание   законодательства Российской  Федерации от 2000 г., № 32, ст. 3341</w:t>
      </w:r>
    </w:p>
  </w:footnote>
  <w:footnote w:id="2">
    <w:p w:rsidR="00413CBD" w:rsidRDefault="00E37FF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Пилипенко Ю.С. Научно-практический комментарий к Кодексу профессиональной этики адвоката / Ю.С. Пилипенко. – М.: Федеральная палата адвокатов РФ. -2013</w:t>
      </w:r>
      <w:r>
        <w:rPr>
          <w:rFonts w:ascii="Times New Roman" w:eastAsia="Times New Roman" w:hAnsi="Times New Roman" w:cs="Times New Roman"/>
          <w:sz w:val="20"/>
          <w:szCs w:val="20"/>
        </w:rPr>
        <w:t>. С.45</w:t>
      </w:r>
    </w:p>
  </w:footnote>
  <w:footnote w:id="3">
    <w:p w:rsidR="00413CBD" w:rsidRDefault="00E37FF1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Уголовно-процессуальный кодекс Российской Федерации от 18.12.2001 № 174-ФЗ (ред. от 01.07.2021, с изм. от 23.09.2021) // Собрание законодательства Российской Федерации от 2001 г., № 52, ст. 4921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BD" w:rsidRDefault="00E37FF1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 w:rsidR="009D72C7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9D72C7">
      <w:rPr>
        <w:rFonts w:ascii="Times New Roman" w:eastAsia="Times New Roman" w:hAnsi="Times New Roman" w:cs="Times New Roman"/>
        <w:noProof/>
        <w:sz w:val="24"/>
        <w:szCs w:val="24"/>
      </w:rPr>
      <w:t>4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413CBD" w:rsidRDefault="00413CBD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BD" w:rsidRDefault="00413CB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72283"/>
    <w:multiLevelType w:val="multilevel"/>
    <w:tmpl w:val="57CC9D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1552804"/>
    <w:multiLevelType w:val="multilevel"/>
    <w:tmpl w:val="999EA9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BD"/>
    <w:rsid w:val="00413CBD"/>
    <w:rsid w:val="009D72C7"/>
    <w:rsid w:val="00E3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1B62C-25BF-4B40-9170-A53F8262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dact.ru/law/uk-rf/osobennaia-chast/razdel-viii/glava-21/statia-158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4693</Words>
  <Characters>26752</Characters>
  <Application>Microsoft Office Word</Application>
  <DocSecurity>0</DocSecurity>
  <Lines>222</Lines>
  <Paragraphs>62</Paragraphs>
  <ScaleCrop>false</ScaleCrop>
  <Company>SPecialiST RePack</Company>
  <LinksUpToDate>false</LinksUpToDate>
  <CharactersWithSpaces>31383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</cp:lastModifiedBy>
  <cp:revision>3</cp:revision>
  <dcterms:created xsi:type="dcterms:W3CDTF">2022-10-12T12:56:00Z</dcterms:created>
  <dcterms:modified xsi:type="dcterms:W3CDTF">2022-10-12T12:56:00Z</dcterms:modified>
</cp:coreProperties>
</file>